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仿宋" w:hAnsi="仿宋" w:eastAsia="仿宋"/>
          <w:sz w:val="28"/>
          <w:szCs w:val="28"/>
        </w:rPr>
      </w:pPr>
      <w:r>
        <w:rPr>
          <w:rFonts w:hint="eastAsia" w:ascii="仿宋" w:hAnsi="仿宋" w:eastAsia="仿宋"/>
          <w:sz w:val="28"/>
          <w:szCs w:val="28"/>
        </w:rPr>
        <w:t>附件1：</w:t>
      </w:r>
    </w:p>
    <w:p>
      <w:pPr>
        <w:spacing w:line="360" w:lineRule="auto"/>
        <w:jc w:val="center"/>
        <w:outlineLvl w:val="0"/>
        <w:rPr>
          <w:rFonts w:ascii="方正小标宋_GBK" w:hAnsi="宋体" w:eastAsia="方正小标宋_GBK" w:cs="宋体"/>
          <w:b/>
          <w:bCs/>
          <w:sz w:val="32"/>
          <w:szCs w:val="32"/>
        </w:rPr>
      </w:pPr>
      <w:r>
        <w:rPr>
          <w:rFonts w:hint="eastAsia" w:ascii="方正小标宋_GBK" w:hAnsi="宋体" w:eastAsia="方正小标宋_GBK" w:cs="宋体"/>
          <w:b/>
          <w:bCs/>
          <w:sz w:val="32"/>
          <w:szCs w:val="32"/>
        </w:rPr>
        <w:t>广东碧桂园职业学院</w:t>
      </w:r>
      <w:r>
        <w:rPr>
          <w:rFonts w:hint="eastAsia" w:ascii="方正小标宋_GBK" w:hAnsi="Calibri" w:eastAsia="方正小标宋_GBK" w:cs="Times New Roman"/>
          <w:b/>
          <w:sz w:val="32"/>
          <w:szCs w:val="32"/>
        </w:rPr>
        <w:t>采购项目需求书</w:t>
      </w:r>
    </w:p>
    <w:p>
      <w:pPr>
        <w:pStyle w:val="14"/>
        <w:framePr w:wrap="auto" w:vAnchor="margin" w:hAnchor="text" w:yAlign="inline"/>
        <w:adjustRightInd w:val="0"/>
        <w:snapToGrid w:val="0"/>
        <w:spacing w:line="560" w:lineRule="exact"/>
        <w:ind w:firstLine="0"/>
        <w:rPr>
          <w:rFonts w:hint="default" w:ascii="黑体" w:hAnsi="黑体" w:eastAsia="黑体" w:cs="宋体"/>
          <w:bCs/>
          <w:sz w:val="28"/>
          <w:szCs w:val="28"/>
          <w:lang w:val="zh-TW" w:eastAsia="zh-TW"/>
        </w:rPr>
      </w:pPr>
      <w:r>
        <w:rPr>
          <w:rFonts w:ascii="黑体" w:hAnsi="黑体" w:eastAsia="黑体" w:cs="宋体"/>
          <w:b/>
          <w:bCs/>
          <w:sz w:val="24"/>
          <w:szCs w:val="24"/>
          <w:lang w:val="zh-TW" w:eastAsia="zh-TW"/>
        </w:rPr>
        <w:t xml:space="preserve">   </w:t>
      </w:r>
      <w:r>
        <w:rPr>
          <w:rFonts w:ascii="黑体" w:hAnsi="黑体" w:eastAsia="黑体" w:cs="宋体"/>
          <w:bCs/>
          <w:sz w:val="28"/>
          <w:szCs w:val="28"/>
          <w:lang w:val="zh-TW" w:eastAsia="zh-TW"/>
        </w:rPr>
        <w:t xml:space="preserve"> 一、采购范围</w:t>
      </w:r>
    </w:p>
    <w:p>
      <w:pPr>
        <w:pStyle w:val="14"/>
        <w:framePr w:wrap="auto" w:vAnchor="margin" w:hAnchor="text" w:yAlign="inline"/>
        <w:adjustRightInd w:val="0"/>
        <w:snapToGrid w:val="0"/>
        <w:spacing w:line="560" w:lineRule="exact"/>
        <w:ind w:firstLine="0"/>
        <w:rPr>
          <w:rFonts w:hint="default" w:ascii="仿宋" w:hAnsi="仿宋" w:eastAsia="仿宋" w:cs="宋体"/>
          <w:sz w:val="28"/>
          <w:szCs w:val="28"/>
        </w:rPr>
      </w:pPr>
      <w:r>
        <w:rPr>
          <w:rFonts w:ascii="仿宋" w:hAnsi="仿宋" w:eastAsia="仿宋" w:cs="宋体"/>
          <w:sz w:val="28"/>
          <w:szCs w:val="28"/>
        </w:rPr>
        <w:t xml:space="preserve">    1.</w:t>
      </w:r>
      <w:r>
        <w:rPr>
          <w:rFonts w:ascii="仿宋" w:hAnsi="仿宋" w:eastAsia="仿宋" w:cs="宋体"/>
          <w:sz w:val="28"/>
          <w:szCs w:val="28"/>
          <w:lang w:val="zh-TW" w:eastAsia="zh-TW"/>
        </w:rPr>
        <w:t>数量清单如下</w:t>
      </w:r>
      <w:r>
        <w:rPr>
          <w:rFonts w:ascii="仿宋" w:hAnsi="仿宋" w:eastAsia="仿宋" w:cs="宋体"/>
          <w:sz w:val="28"/>
          <w:szCs w:val="28"/>
          <w:lang w:val="zh-TW"/>
        </w:rPr>
        <w:t>：</w:t>
      </w:r>
    </w:p>
    <w:tbl>
      <w:tblPr>
        <w:tblStyle w:val="7"/>
        <w:tblW w:w="7640"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Layout w:type="fixed"/>
        <w:tblCellMar>
          <w:top w:w="0" w:type="dxa"/>
          <w:left w:w="10" w:type="dxa"/>
          <w:bottom w:w="0" w:type="dxa"/>
          <w:right w:w="10" w:type="dxa"/>
        </w:tblCellMar>
      </w:tblPr>
      <w:tblGrid>
        <w:gridCol w:w="960"/>
        <w:gridCol w:w="4526"/>
        <w:gridCol w:w="993"/>
        <w:gridCol w:w="1161"/>
      </w:tblGrid>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CED7E7"/>
          <w:tblCellMar>
            <w:top w:w="0" w:type="dxa"/>
            <w:left w:w="10" w:type="dxa"/>
            <w:bottom w:w="0" w:type="dxa"/>
            <w:right w:w="10" w:type="dxa"/>
          </w:tblCellMar>
        </w:tblPrEx>
        <w:trPr>
          <w:trHeight w:val="608"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bCs/>
                <w:sz w:val="28"/>
                <w:szCs w:val="28"/>
                <w:lang w:val="zh-TW" w:eastAsia="zh-TW"/>
              </w:rPr>
              <w:t>序号</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bCs/>
                <w:sz w:val="28"/>
                <w:szCs w:val="28"/>
                <w:lang w:val="zh-TW"/>
              </w:rPr>
              <w:t>物品（服务）</w:t>
            </w:r>
            <w:r>
              <w:rPr>
                <w:rFonts w:ascii="仿宋" w:hAnsi="仿宋" w:eastAsia="仿宋" w:cs="宋体"/>
                <w:bCs/>
                <w:sz w:val="28"/>
                <w:szCs w:val="28"/>
                <w:lang w:val="zh-TW" w:eastAsia="zh-TW"/>
              </w:rPr>
              <w:t>名称</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bCs/>
                <w:sz w:val="28"/>
                <w:szCs w:val="28"/>
                <w:lang w:val="zh-TW" w:eastAsia="zh-TW"/>
              </w:rPr>
              <w:t>单位</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bCs/>
                <w:sz w:val="28"/>
                <w:szCs w:val="28"/>
                <w:lang w:val="zh-TW" w:eastAsia="zh-TW"/>
              </w:rPr>
              <w:t>数量</w:t>
            </w:r>
          </w:p>
        </w:tc>
      </w:tr>
      <w:tr>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 w:type="dxa"/>
            <w:bottom w:w="0" w:type="dxa"/>
            <w:right w:w="10" w:type="dxa"/>
          </w:tblCellMar>
        </w:tblPrEx>
        <w:trPr>
          <w:trHeight w:val="350" w:hRule="atLeast"/>
          <w:jc w:val="center"/>
        </w:trPr>
        <w:tc>
          <w:tcPr>
            <w:tcW w:w="960"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sz w:val="28"/>
                <w:szCs w:val="28"/>
              </w:rPr>
              <w:t>1</w:t>
            </w:r>
          </w:p>
        </w:tc>
        <w:tc>
          <w:tcPr>
            <w:tcW w:w="4526"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widowControl/>
              <w:adjustRightInd w:val="0"/>
              <w:snapToGrid w:val="0"/>
              <w:spacing w:line="560" w:lineRule="exact"/>
              <w:jc w:val="center"/>
              <w:rPr>
                <w:rFonts w:ascii="仿宋" w:hAnsi="仿宋" w:eastAsia="仿宋" w:cs="宋体"/>
                <w:sz w:val="28"/>
                <w:szCs w:val="28"/>
                <w:lang w:val="zh-TW"/>
              </w:rPr>
            </w:pPr>
            <w:r>
              <w:rPr>
                <w:rFonts w:hint="eastAsia" w:ascii="仿宋" w:hAnsi="仿宋" w:eastAsia="仿宋" w:cs="宋体"/>
                <w:sz w:val="28"/>
                <w:szCs w:val="28"/>
                <w:lang w:val="zh-TW"/>
              </w:rPr>
              <w:t>网络安全等级保护（二级）测评服务</w:t>
            </w:r>
          </w:p>
        </w:tc>
        <w:tc>
          <w:tcPr>
            <w:tcW w:w="99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sz w:val="28"/>
                <w:szCs w:val="28"/>
              </w:rPr>
              <w:t>项</w:t>
            </w:r>
          </w:p>
        </w:tc>
        <w:tc>
          <w:tcPr>
            <w:tcW w:w="1161"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pPr>
              <w:pStyle w:val="14"/>
              <w:framePr w:wrap="auto" w:vAnchor="margin" w:hAnchor="text" w:yAlign="inline"/>
              <w:adjustRightInd w:val="0"/>
              <w:snapToGrid w:val="0"/>
              <w:spacing w:line="560" w:lineRule="exact"/>
              <w:ind w:firstLine="0"/>
              <w:jc w:val="center"/>
              <w:rPr>
                <w:rFonts w:hint="default" w:ascii="仿宋" w:hAnsi="仿宋" w:eastAsia="仿宋" w:cs="宋体"/>
                <w:sz w:val="28"/>
                <w:szCs w:val="28"/>
              </w:rPr>
            </w:pPr>
            <w:r>
              <w:rPr>
                <w:rFonts w:ascii="仿宋" w:hAnsi="仿宋" w:eastAsia="仿宋" w:cs="宋体"/>
                <w:sz w:val="28"/>
                <w:szCs w:val="28"/>
              </w:rPr>
              <w:t>1</w:t>
            </w:r>
          </w:p>
        </w:tc>
      </w:tr>
    </w:tbl>
    <w:p>
      <w:pPr>
        <w:pStyle w:val="14"/>
        <w:framePr w:wrap="auto" w:vAnchor="margin" w:hAnchor="text" w:yAlign="inline"/>
        <w:adjustRightInd w:val="0"/>
        <w:snapToGrid w:val="0"/>
        <w:spacing w:line="560" w:lineRule="exact"/>
        <w:ind w:firstLine="0"/>
        <w:rPr>
          <w:rFonts w:hint="default" w:ascii="仿宋" w:hAnsi="仿宋" w:eastAsia="仿宋" w:cs="宋体"/>
          <w:bCs/>
          <w:sz w:val="28"/>
          <w:szCs w:val="28"/>
          <w:lang w:val="zh-TW"/>
        </w:rPr>
      </w:pPr>
    </w:p>
    <w:p>
      <w:pPr>
        <w:pStyle w:val="14"/>
        <w:framePr w:wrap="auto" w:vAnchor="margin" w:hAnchor="text" w:yAlign="inline"/>
        <w:adjustRightInd w:val="0"/>
        <w:snapToGrid w:val="0"/>
        <w:spacing w:line="560" w:lineRule="exact"/>
        <w:ind w:firstLine="551" w:firstLineChars="196"/>
        <w:rPr>
          <w:rFonts w:hint="default" w:ascii="仿宋" w:hAnsi="仿宋" w:eastAsia="仿宋" w:cs="宋体"/>
          <w:bCs/>
          <w:sz w:val="28"/>
          <w:szCs w:val="28"/>
          <w:lang w:val="zh-TW" w:eastAsia="zh-TW"/>
        </w:rPr>
      </w:pPr>
      <w:r>
        <w:rPr>
          <w:rFonts w:ascii="黑体" w:hAnsi="黑体" w:eastAsia="黑体" w:cs="宋体"/>
          <w:b/>
          <w:bCs/>
          <w:sz w:val="28"/>
          <w:szCs w:val="28"/>
          <w:lang w:val="zh-TW" w:eastAsia="zh-TW"/>
        </w:rPr>
        <w:t>二、投标供应商的资格要求</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1.具有独立承担民事责任的能力：在中华人民共和国境内注册的法人或其他组织或自然人，注册资本500万元，提供有效的营业执照（或事业法人登记证或身份证等相关证明）副本复印件。</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2.具有良好的商业信誉和健全的财务会计制度：提供近3年财务状况报告或基本开户行出具的资信证明。</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3.有依法缴纳税收和社会保障资金的良好记录：提供投标截止日前6个月内任意1个月依法缴纳税收和社会保障资金的相关材料。如依法免税或不需要缴纳社会保障资金的，提供相应证明材料。</w:t>
      </w:r>
    </w:p>
    <w:p>
      <w:pPr>
        <w:kinsoku w:val="0"/>
        <w:autoSpaceDE w:val="0"/>
        <w:autoSpaceDN w:val="0"/>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 xml:space="preserve">4.信用记录：供应商未被列入“信用中国”网站(www.creditchina.gov.cn)“记录失信被执行人或重大税收违法案件当事人名单或政府采购严重违法失信行为”记录名单。提供网站查询记录截图。 </w:t>
      </w:r>
    </w:p>
    <w:p>
      <w:pPr>
        <w:kinsoku w:val="0"/>
        <w:autoSpaceDE w:val="0"/>
        <w:autoSpaceDN w:val="0"/>
        <w:adjustRightInd w:val="0"/>
        <w:snapToGrid w:val="0"/>
        <w:spacing w:line="560" w:lineRule="exact"/>
        <w:ind w:firstLine="560" w:firstLineChars="200"/>
        <w:rPr>
          <w:rFonts w:ascii="仿宋" w:hAnsi="仿宋" w:eastAsia="仿宋" w:cs="Times New Roman"/>
          <w:sz w:val="28"/>
          <w:szCs w:val="28"/>
        </w:rPr>
      </w:pPr>
      <w:r>
        <w:rPr>
          <w:rFonts w:ascii="仿宋" w:hAnsi="仿宋" w:eastAsia="仿宋" w:cs="Times New Roman"/>
          <w:sz w:val="28"/>
          <w:szCs w:val="28"/>
        </w:rPr>
        <w:t>5.</w:t>
      </w:r>
      <w:r>
        <w:rPr>
          <w:rFonts w:hint="eastAsia" w:ascii="仿宋" w:hAnsi="仿宋" w:eastAsia="仿宋" w:cs="Times New Roman"/>
          <w:sz w:val="28"/>
          <w:szCs w:val="28"/>
        </w:rPr>
        <w:t>技术服务能力：具备CCRC信息安全服务资质，具有等保测评项目的整改经验（要求提供3年内等保项目相关合同）。</w:t>
      </w:r>
    </w:p>
    <w:p>
      <w:pPr>
        <w:adjustRightInd w:val="0"/>
        <w:snapToGrid w:val="0"/>
        <w:spacing w:line="560" w:lineRule="exact"/>
        <w:ind w:firstLine="562" w:firstLineChars="200"/>
        <w:rPr>
          <w:rFonts w:ascii="仿宋" w:hAnsi="仿宋" w:eastAsia="仿宋" w:cs="Times New Roman"/>
          <w:sz w:val="28"/>
          <w:szCs w:val="28"/>
        </w:rPr>
      </w:pPr>
      <w:r>
        <w:rPr>
          <w:rFonts w:hint="eastAsia" w:ascii="黑体" w:hAnsi="黑体" w:eastAsia="黑体" w:cs="宋体"/>
          <w:b/>
          <w:bCs/>
          <w:color w:val="000000"/>
          <w:sz w:val="28"/>
          <w:szCs w:val="28"/>
          <w:u w:color="000000"/>
          <w:lang w:val="zh-TW" w:eastAsia="zh-TW"/>
        </w:rPr>
        <w:t>三、总体要求</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1.本项目最高限价为人民币</w:t>
      </w:r>
      <w:r>
        <w:rPr>
          <w:rFonts w:ascii="仿宋" w:hAnsi="仿宋" w:eastAsia="仿宋" w:cs="Times New Roman"/>
          <w:sz w:val="28"/>
          <w:szCs w:val="28"/>
        </w:rPr>
        <w:t>36</w:t>
      </w:r>
      <w:r>
        <w:rPr>
          <w:rFonts w:hint="eastAsia" w:ascii="仿宋" w:hAnsi="仿宋" w:eastAsia="仿宋" w:cs="Times New Roman"/>
          <w:sz w:val="28"/>
          <w:szCs w:val="28"/>
        </w:rPr>
        <w:t>0000元，投标总价不得超出最高限价，否则视为无效投标。</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2.投标人提供的服务应符合所采购内容相关的国家标准、行业标准、地方标准及其他相关标准、规范。</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3. 投标总报价包括完成本项目的成本、利润、运费、税金等全部费用。</w:t>
      </w:r>
    </w:p>
    <w:p>
      <w:pPr>
        <w:adjustRightInd w:val="0"/>
        <w:snapToGrid w:val="0"/>
        <w:spacing w:line="560" w:lineRule="exact"/>
        <w:ind w:firstLine="560" w:firstLineChars="200"/>
        <w:rPr>
          <w:rFonts w:ascii="仿宋" w:hAnsi="仿宋" w:eastAsia="仿宋" w:cs="Times New Roman"/>
          <w:sz w:val="28"/>
          <w:szCs w:val="28"/>
        </w:rPr>
      </w:pPr>
      <w:r>
        <w:rPr>
          <w:rFonts w:hint="eastAsia" w:ascii="仿宋" w:hAnsi="仿宋" w:eastAsia="仿宋" w:cs="Times New Roman"/>
          <w:sz w:val="28"/>
          <w:szCs w:val="28"/>
        </w:rPr>
        <w:t>4. 伴随服务（费用包含在投标总价内）：服务过程中的专家费用、人员培训、含税等费用。</w:t>
      </w:r>
    </w:p>
    <w:p>
      <w:pPr>
        <w:adjustRightInd w:val="0"/>
        <w:snapToGrid w:val="0"/>
        <w:spacing w:line="560" w:lineRule="exact"/>
        <w:ind w:firstLine="560" w:firstLineChars="200"/>
        <w:rPr>
          <w:rFonts w:ascii="仿宋" w:hAnsi="仿宋" w:eastAsia="仿宋" w:cs="Times New Roman"/>
          <w:sz w:val="28"/>
          <w:szCs w:val="28"/>
        </w:rPr>
      </w:pPr>
    </w:p>
    <w:p>
      <w:pPr>
        <w:pStyle w:val="14"/>
        <w:framePr w:wrap="auto" w:vAnchor="margin" w:hAnchor="text" w:yAlign="inline"/>
        <w:adjustRightInd w:val="0"/>
        <w:snapToGrid w:val="0"/>
        <w:spacing w:line="560" w:lineRule="exact"/>
        <w:ind w:firstLine="551" w:firstLineChars="196"/>
        <w:rPr>
          <w:rFonts w:hint="default" w:ascii="仿宋" w:hAnsi="仿宋" w:eastAsia="仿宋" w:cs="Times New Roman"/>
          <w:sz w:val="28"/>
          <w:szCs w:val="28"/>
        </w:rPr>
      </w:pPr>
      <w:r>
        <w:rPr>
          <w:rFonts w:ascii="黑体" w:hAnsi="黑体" w:eastAsia="黑体" w:cs="宋体"/>
          <w:b/>
          <w:bCs/>
          <w:sz w:val="28"/>
          <w:szCs w:val="28"/>
          <w:lang w:val="zh-TW" w:eastAsia="zh-TW"/>
        </w:rPr>
        <w:t>四、主要商务需求</w:t>
      </w:r>
    </w:p>
    <w:p>
      <w:pPr>
        <w:pStyle w:val="14"/>
        <w:framePr w:wrap="auto" w:vAnchor="margin" w:hAnchor="text" w:yAlign="inline"/>
        <w:adjustRightInd w:val="0"/>
        <w:snapToGrid w:val="0"/>
        <w:spacing w:line="560" w:lineRule="exact"/>
        <w:ind w:firstLine="562" w:firstLineChars="200"/>
        <w:rPr>
          <w:rFonts w:hint="default" w:ascii="仿宋" w:hAnsi="仿宋" w:eastAsia="仿宋" w:cs="宋体"/>
          <w:b/>
          <w:bCs/>
          <w:sz w:val="28"/>
          <w:szCs w:val="28"/>
          <w:lang w:val="zh-TW"/>
        </w:rPr>
      </w:pPr>
      <w:r>
        <w:rPr>
          <w:rFonts w:ascii="仿宋" w:hAnsi="仿宋" w:eastAsia="仿宋" w:cs="宋体"/>
          <w:b/>
          <w:bCs/>
          <w:sz w:val="28"/>
          <w:szCs w:val="28"/>
          <w:lang w:val="zh-TW"/>
        </w:rPr>
        <w:t>1.付款方式</w:t>
      </w:r>
    </w:p>
    <w:p>
      <w:pPr>
        <w:pStyle w:val="14"/>
        <w:framePr w:wrap="auto" w:vAnchor="margin" w:hAnchor="text" w:yAlign="inline"/>
        <w:spacing w:line="360" w:lineRule="auto"/>
        <w:ind w:firstLine="480"/>
        <w:rPr>
          <w:rFonts w:hint="default" w:ascii="仿宋" w:hAnsi="仿宋" w:eastAsia="仿宋" w:cstheme="minorBidi"/>
          <w:color w:val="auto"/>
          <w:sz w:val="28"/>
          <w:szCs w:val="28"/>
        </w:rPr>
      </w:pPr>
      <w:r>
        <w:rPr>
          <w:rFonts w:ascii="仿宋" w:hAnsi="仿宋" w:eastAsia="仿宋" w:cstheme="minorBidi"/>
          <w:color w:val="auto"/>
          <w:sz w:val="28"/>
          <w:szCs w:val="28"/>
        </w:rPr>
        <w:t>（1）信息系统取得等级保护备案证后，</w:t>
      </w:r>
      <w:r>
        <w:rPr>
          <w:rFonts w:ascii="仿宋" w:hAnsi="仿宋" w:eastAsia="仿宋"/>
          <w:sz w:val="28"/>
          <w:szCs w:val="28"/>
        </w:rPr>
        <w:t>采购人</w:t>
      </w:r>
      <w:r>
        <w:rPr>
          <w:rFonts w:ascii="仿宋" w:hAnsi="仿宋" w:eastAsia="仿宋" w:cstheme="minorBidi"/>
          <w:color w:val="auto"/>
          <w:sz w:val="28"/>
          <w:szCs w:val="28"/>
        </w:rPr>
        <w:t>于1</w:t>
      </w:r>
      <w:r>
        <w:rPr>
          <w:rFonts w:hint="default" w:ascii="仿宋" w:hAnsi="仿宋" w:eastAsia="仿宋" w:cstheme="minorBidi"/>
          <w:color w:val="auto"/>
          <w:sz w:val="28"/>
          <w:szCs w:val="28"/>
        </w:rPr>
        <w:t>0</w:t>
      </w:r>
      <w:r>
        <w:rPr>
          <w:rFonts w:ascii="仿宋" w:hAnsi="仿宋" w:eastAsia="仿宋" w:cstheme="minorBidi"/>
          <w:color w:val="auto"/>
          <w:sz w:val="28"/>
          <w:szCs w:val="28"/>
        </w:rPr>
        <w:t>个工作日内支付结算款的</w:t>
      </w:r>
      <w:r>
        <w:rPr>
          <w:rFonts w:hint="default" w:ascii="仿宋" w:hAnsi="仿宋" w:eastAsia="仿宋" w:cstheme="minorBidi"/>
          <w:color w:val="auto"/>
          <w:sz w:val="28"/>
          <w:szCs w:val="28"/>
        </w:rPr>
        <w:t>20%</w:t>
      </w:r>
      <w:r>
        <w:rPr>
          <w:rFonts w:ascii="仿宋" w:hAnsi="仿宋" w:eastAsia="仿宋" w:cstheme="minorBidi"/>
          <w:color w:val="auto"/>
          <w:sz w:val="28"/>
          <w:szCs w:val="28"/>
        </w:rPr>
        <w:t>。</w:t>
      </w:r>
    </w:p>
    <w:p>
      <w:pPr>
        <w:pStyle w:val="14"/>
        <w:framePr w:wrap="auto" w:vAnchor="margin" w:hAnchor="text" w:yAlign="inline"/>
        <w:spacing w:line="360" w:lineRule="auto"/>
        <w:ind w:firstLine="480"/>
        <w:rPr>
          <w:rFonts w:hint="default" w:ascii="仿宋" w:hAnsi="仿宋" w:eastAsia="仿宋" w:cstheme="minorBidi"/>
          <w:color w:val="auto"/>
          <w:sz w:val="28"/>
          <w:szCs w:val="28"/>
        </w:rPr>
      </w:pPr>
      <w:r>
        <w:rPr>
          <w:rFonts w:ascii="仿宋" w:hAnsi="仿宋" w:eastAsia="仿宋" w:cstheme="minorBidi"/>
          <w:color w:val="auto"/>
          <w:sz w:val="28"/>
          <w:szCs w:val="28"/>
        </w:rPr>
        <w:t>（2）信息系统由具有等保测评资质单位完成初测，出具差距分析报告和整改意见后，</w:t>
      </w:r>
      <w:r>
        <w:rPr>
          <w:rFonts w:ascii="仿宋" w:hAnsi="仿宋" w:eastAsia="仿宋"/>
          <w:sz w:val="28"/>
          <w:szCs w:val="28"/>
        </w:rPr>
        <w:t>采购人</w:t>
      </w:r>
      <w:r>
        <w:rPr>
          <w:rFonts w:ascii="仿宋" w:hAnsi="仿宋" w:eastAsia="仿宋" w:cstheme="minorBidi"/>
          <w:color w:val="auto"/>
          <w:sz w:val="28"/>
          <w:szCs w:val="28"/>
        </w:rPr>
        <w:t>于10个工作日内支付结算款的</w:t>
      </w:r>
      <w:r>
        <w:rPr>
          <w:rFonts w:hint="default" w:ascii="仿宋" w:hAnsi="仿宋" w:eastAsia="仿宋" w:cstheme="minorBidi"/>
          <w:color w:val="auto"/>
          <w:sz w:val="28"/>
          <w:szCs w:val="28"/>
        </w:rPr>
        <w:t>30</w:t>
      </w:r>
      <w:r>
        <w:rPr>
          <w:rFonts w:ascii="仿宋" w:hAnsi="仿宋" w:eastAsia="仿宋" w:cstheme="minorBidi"/>
          <w:color w:val="auto"/>
          <w:sz w:val="28"/>
          <w:szCs w:val="28"/>
        </w:rPr>
        <w:t>%。</w:t>
      </w:r>
    </w:p>
    <w:p>
      <w:pPr>
        <w:pStyle w:val="14"/>
        <w:framePr w:wrap="auto" w:vAnchor="margin" w:hAnchor="text" w:yAlign="inline"/>
        <w:spacing w:line="360" w:lineRule="auto"/>
        <w:ind w:firstLine="480"/>
        <w:rPr>
          <w:rFonts w:hint="default" w:ascii="仿宋" w:hAnsi="仿宋" w:eastAsia="仿宋" w:cstheme="minorBidi"/>
          <w:color w:val="auto"/>
          <w:sz w:val="28"/>
          <w:szCs w:val="28"/>
        </w:rPr>
      </w:pPr>
      <w:r>
        <w:rPr>
          <w:rFonts w:ascii="仿宋" w:hAnsi="仿宋" w:eastAsia="仿宋" w:cstheme="minorBidi"/>
          <w:color w:val="auto"/>
          <w:sz w:val="28"/>
          <w:szCs w:val="28"/>
        </w:rPr>
        <w:t>（2）信息系统通过二级等保测评后，</w:t>
      </w:r>
      <w:r>
        <w:rPr>
          <w:rFonts w:ascii="仿宋" w:hAnsi="仿宋" w:eastAsia="仿宋"/>
          <w:sz w:val="28"/>
          <w:szCs w:val="28"/>
        </w:rPr>
        <w:t>采购人</w:t>
      </w:r>
      <w:r>
        <w:rPr>
          <w:rFonts w:ascii="仿宋" w:hAnsi="仿宋" w:eastAsia="仿宋" w:cstheme="minorBidi"/>
          <w:color w:val="auto"/>
          <w:sz w:val="28"/>
          <w:szCs w:val="28"/>
        </w:rPr>
        <w:t>于1</w:t>
      </w:r>
      <w:r>
        <w:rPr>
          <w:rFonts w:hint="default" w:ascii="仿宋" w:hAnsi="仿宋" w:eastAsia="仿宋" w:cstheme="minorBidi"/>
          <w:color w:val="auto"/>
          <w:sz w:val="28"/>
          <w:szCs w:val="28"/>
        </w:rPr>
        <w:t>0</w:t>
      </w:r>
      <w:r>
        <w:rPr>
          <w:rFonts w:ascii="仿宋" w:hAnsi="仿宋" w:eastAsia="仿宋" w:cstheme="minorBidi"/>
          <w:color w:val="auto"/>
          <w:sz w:val="28"/>
          <w:szCs w:val="28"/>
        </w:rPr>
        <w:t>个工作日内支付结算款的5</w:t>
      </w:r>
      <w:r>
        <w:rPr>
          <w:rFonts w:hint="default" w:ascii="仿宋" w:hAnsi="仿宋" w:eastAsia="仿宋" w:cstheme="minorBidi"/>
          <w:color w:val="auto"/>
          <w:sz w:val="28"/>
          <w:szCs w:val="28"/>
        </w:rPr>
        <w:t>0</w:t>
      </w:r>
      <w:r>
        <w:rPr>
          <w:rFonts w:ascii="仿宋" w:hAnsi="仿宋" w:eastAsia="仿宋" w:cstheme="minorBidi"/>
          <w:color w:val="auto"/>
          <w:sz w:val="28"/>
          <w:szCs w:val="28"/>
        </w:rPr>
        <w:t>%。</w:t>
      </w:r>
    </w:p>
    <w:p>
      <w:pPr>
        <w:adjustRightInd w:val="0"/>
        <w:snapToGrid w:val="0"/>
        <w:spacing w:line="560" w:lineRule="exact"/>
        <w:ind w:firstLine="562" w:firstLineChars="200"/>
        <w:rPr>
          <w:rFonts w:ascii="仿宋" w:hAnsi="仿宋" w:eastAsia="仿宋" w:cs="宋体"/>
          <w:b/>
          <w:bCs/>
          <w:sz w:val="28"/>
          <w:szCs w:val="28"/>
          <w:lang w:val="zh-TW"/>
        </w:rPr>
      </w:pPr>
      <w:r>
        <w:rPr>
          <w:rFonts w:ascii="仿宋" w:hAnsi="仿宋" w:eastAsia="仿宋" w:cs="宋体"/>
          <w:b/>
          <w:bCs/>
          <w:sz w:val="28"/>
          <w:szCs w:val="28"/>
          <w:lang w:val="zh-TW"/>
        </w:rPr>
        <w:t>2.验收要求</w:t>
      </w:r>
    </w:p>
    <w:p>
      <w:pPr>
        <w:adjustRightInd w:val="0"/>
        <w:snapToGrid w:val="0"/>
        <w:spacing w:line="560" w:lineRule="exact"/>
        <w:ind w:firstLine="560" w:firstLineChars="200"/>
        <w:rPr>
          <w:rFonts w:ascii="仿宋" w:hAnsi="仿宋" w:eastAsia="仿宋"/>
          <w:sz w:val="28"/>
          <w:szCs w:val="28"/>
        </w:rPr>
      </w:pPr>
      <w:r>
        <w:rPr>
          <w:rFonts w:hint="eastAsia" w:ascii="仿宋" w:hAnsi="仿宋" w:eastAsia="仿宋"/>
          <w:sz w:val="28"/>
          <w:szCs w:val="28"/>
        </w:rPr>
        <w:t>（1）服务若有国家标准按照国家标准验收，若无国家标准按行业标准验收。</w:t>
      </w:r>
    </w:p>
    <w:p>
      <w:pPr>
        <w:adjustRightInd w:val="0"/>
        <w:snapToGrid w:val="0"/>
        <w:spacing w:line="560" w:lineRule="exact"/>
        <w:ind w:firstLine="560" w:firstLineChars="200"/>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采购人组成验收小组按国家有关规定、规范进行验收，必要时邀请相关的专业人员或机构参与验收；因服务质量问题发生争议时，采购人委托本地有关质量技术监督部门鉴定。</w:t>
      </w:r>
    </w:p>
    <w:p>
      <w:pPr>
        <w:pStyle w:val="14"/>
        <w:framePr w:wrap="auto" w:vAnchor="margin" w:hAnchor="text" w:yAlign="inline"/>
        <w:adjustRightInd w:val="0"/>
        <w:snapToGrid w:val="0"/>
        <w:spacing w:line="560" w:lineRule="exact"/>
        <w:ind w:firstLine="562" w:firstLineChars="200"/>
        <w:rPr>
          <w:rFonts w:hint="default" w:ascii="仿宋" w:hAnsi="仿宋" w:eastAsia="仿宋" w:cs="宋体"/>
          <w:b/>
          <w:bCs/>
          <w:sz w:val="28"/>
          <w:szCs w:val="28"/>
          <w:lang w:val="zh-TW" w:eastAsia="zh-TW"/>
        </w:rPr>
      </w:pPr>
      <w:r>
        <w:rPr>
          <w:rFonts w:ascii="仿宋" w:hAnsi="仿宋" w:eastAsia="仿宋" w:cs="宋体"/>
          <w:b/>
          <w:sz w:val="28"/>
          <w:szCs w:val="28"/>
          <w:lang w:val="zh-TW"/>
        </w:rPr>
        <w:t>3.</w:t>
      </w:r>
      <w:r>
        <w:rPr>
          <w:rFonts w:ascii="仿宋" w:hAnsi="仿宋" w:eastAsia="仿宋" w:cs="宋体"/>
          <w:b/>
          <w:bCs/>
          <w:sz w:val="28"/>
          <w:szCs w:val="28"/>
          <w:lang w:val="zh-TW" w:eastAsia="zh-TW"/>
        </w:rPr>
        <w:t>服务</w:t>
      </w:r>
      <w:r>
        <w:rPr>
          <w:rFonts w:ascii="仿宋" w:hAnsi="仿宋" w:eastAsia="仿宋" w:cs="宋体"/>
          <w:b/>
          <w:bCs/>
          <w:sz w:val="28"/>
          <w:szCs w:val="28"/>
          <w:lang w:val="zh-TW"/>
        </w:rPr>
        <w:t>要</w:t>
      </w:r>
      <w:r>
        <w:rPr>
          <w:rFonts w:ascii="仿宋" w:hAnsi="仿宋" w:eastAsia="仿宋" w:cs="宋体"/>
          <w:b/>
          <w:bCs/>
          <w:sz w:val="28"/>
          <w:szCs w:val="28"/>
          <w:lang w:val="zh-TW" w:eastAsia="zh-TW"/>
        </w:rPr>
        <w:t>求</w:t>
      </w:r>
    </w:p>
    <w:p>
      <w:pPr>
        <w:pStyle w:val="14"/>
        <w:framePr w:wrap="auto" w:vAnchor="margin" w:hAnchor="text" w:yAlign="inline"/>
        <w:adjustRightInd w:val="0"/>
        <w:snapToGrid w:val="0"/>
        <w:spacing w:line="560" w:lineRule="exact"/>
        <w:ind w:firstLine="560" w:firstLineChars="200"/>
        <w:jc w:val="left"/>
        <w:rPr>
          <w:rFonts w:hint="default" w:ascii="仿宋" w:hAnsi="仿宋" w:eastAsia="仿宋" w:cs="宋体"/>
          <w:sz w:val="28"/>
          <w:szCs w:val="28"/>
          <w:highlight w:val="none"/>
          <w:lang w:val="zh-TW"/>
        </w:rPr>
      </w:pPr>
      <w:r>
        <w:rPr>
          <w:rFonts w:ascii="仿宋" w:hAnsi="仿宋" w:eastAsia="仿宋" w:cs="宋体"/>
          <w:sz w:val="28"/>
          <w:szCs w:val="28"/>
          <w:lang w:val="zh-TW"/>
        </w:rPr>
        <w:t>投标人为采购人提供二级等保评测一站式服务，包括定级、备案、测评及整改服务，其中测评、整改服务不限次数，</w:t>
      </w:r>
      <w:r>
        <w:rPr>
          <w:rFonts w:ascii="仿宋" w:hAnsi="仿宋" w:eastAsia="仿宋" w:cs="宋体"/>
          <w:sz w:val="28"/>
          <w:szCs w:val="28"/>
          <w:highlight w:val="none"/>
          <w:lang w:val="zh-TW"/>
        </w:rPr>
        <w:t>直至项目内所有系统通过二级等保测评。</w:t>
      </w:r>
    </w:p>
    <w:p>
      <w:pPr>
        <w:pStyle w:val="14"/>
        <w:framePr w:wrap="auto" w:vAnchor="margin" w:hAnchor="text" w:yAlign="inline"/>
        <w:adjustRightInd w:val="0"/>
        <w:snapToGrid w:val="0"/>
        <w:spacing w:line="560" w:lineRule="exact"/>
        <w:ind w:firstLine="560" w:firstLineChars="200"/>
        <w:jc w:val="left"/>
        <w:rPr>
          <w:rFonts w:hint="default" w:ascii="仿宋" w:hAnsi="仿宋" w:eastAsia="仿宋" w:cs="宋体"/>
          <w:sz w:val="28"/>
          <w:szCs w:val="28"/>
          <w:lang w:val="zh-TW" w:eastAsia="zh-TW"/>
        </w:rPr>
      </w:pPr>
    </w:p>
    <w:p>
      <w:pPr>
        <w:pStyle w:val="14"/>
        <w:framePr w:wrap="auto" w:vAnchor="margin" w:hAnchor="text" w:yAlign="inline"/>
        <w:adjustRightInd w:val="0"/>
        <w:snapToGrid w:val="0"/>
        <w:spacing w:line="560" w:lineRule="exact"/>
        <w:ind w:firstLine="562" w:firstLineChars="200"/>
        <w:rPr>
          <w:rFonts w:hint="default" w:ascii="仿宋" w:hAnsi="仿宋" w:eastAsia="仿宋" w:cs="Times New Roman"/>
          <w:sz w:val="28"/>
          <w:szCs w:val="28"/>
        </w:rPr>
      </w:pPr>
      <w:r>
        <w:rPr>
          <w:rFonts w:ascii="黑体" w:hAnsi="黑体" w:eastAsia="黑体" w:cs="宋体"/>
          <w:b/>
          <w:bCs/>
          <w:sz w:val="28"/>
          <w:szCs w:val="28"/>
          <w:lang w:val="zh-TW" w:eastAsia="zh-TW"/>
        </w:rPr>
        <w:t>五、技术规格及参数要求</w:t>
      </w:r>
      <w:r>
        <w:rPr>
          <w:rFonts w:ascii="黑体" w:hAnsi="黑体" w:eastAsia="黑体" w:cs="宋体"/>
          <w:b/>
          <w:bCs/>
          <w:sz w:val="28"/>
          <w:szCs w:val="28"/>
          <w:lang w:val="zh-TW"/>
        </w:rPr>
        <w:t>（清单）</w:t>
      </w:r>
      <w:bookmarkStart w:id="0" w:name="_GoBack"/>
      <w:bookmarkEnd w:id="0"/>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84"/>
        <w:gridCol w:w="992"/>
        <w:gridCol w:w="1560"/>
        <w:gridCol w:w="4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84"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参数性质</w:t>
            </w:r>
          </w:p>
        </w:tc>
        <w:tc>
          <w:tcPr>
            <w:tcW w:w="992"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序号</w:t>
            </w:r>
          </w:p>
        </w:tc>
        <w:tc>
          <w:tcPr>
            <w:tcW w:w="1560"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内容</w:t>
            </w:r>
          </w:p>
        </w:tc>
        <w:tc>
          <w:tcPr>
            <w:tcW w:w="4847" w:type="dxa"/>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具体技术（参数）要求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384"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w:t>
            </w:r>
          </w:p>
        </w:tc>
        <w:tc>
          <w:tcPr>
            <w:tcW w:w="992"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1</w:t>
            </w:r>
          </w:p>
        </w:tc>
        <w:tc>
          <w:tcPr>
            <w:tcW w:w="1560"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系统定级及备案</w:t>
            </w:r>
          </w:p>
        </w:tc>
        <w:tc>
          <w:tcPr>
            <w:tcW w:w="4847" w:type="dxa"/>
          </w:tcPr>
          <w:p>
            <w:pPr>
              <w:adjustRightInd w:val="0"/>
              <w:snapToGrid w:val="0"/>
              <w:spacing w:line="400" w:lineRule="exact"/>
              <w:jc w:val="left"/>
              <w:rPr>
                <w:rFonts w:ascii="仿宋" w:hAnsi="仿宋" w:eastAsia="仿宋" w:cs="Times New Roman"/>
                <w:kern w:val="0"/>
                <w:sz w:val="28"/>
                <w:szCs w:val="28"/>
              </w:rPr>
            </w:pPr>
            <w:r>
              <w:rPr>
                <w:rFonts w:hint="eastAsia" w:ascii="仿宋" w:hAnsi="仿宋" w:eastAsia="仿宋" w:cs="Times New Roman"/>
                <w:kern w:val="0"/>
                <w:sz w:val="28"/>
                <w:szCs w:val="28"/>
              </w:rPr>
              <w:t>完成学院官网（复评）、学院信息门户、OA系统、教务管理系统、学工管理系统、碧职云教学平台等6个系统的定级报告及备案表并提交网监审核。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84" w:type="dxa"/>
            <w:vAlign w:val="center"/>
          </w:tcPr>
          <w:p>
            <w:pPr>
              <w:jc w:val="center"/>
              <w:rPr>
                <w:rFonts w:ascii="Calibri" w:hAnsi="Calibri" w:eastAsia="宋体" w:cs="Times New Roman"/>
                <w:kern w:val="0"/>
                <w:sz w:val="20"/>
                <w:szCs w:val="20"/>
              </w:rPr>
            </w:pPr>
            <w:r>
              <w:rPr>
                <w:rFonts w:hint="eastAsia" w:ascii="仿宋" w:hAnsi="仿宋" w:eastAsia="仿宋" w:cs="Times New Roman"/>
                <w:kern w:val="0"/>
                <w:sz w:val="28"/>
                <w:szCs w:val="28"/>
              </w:rPr>
              <w:t>★</w:t>
            </w:r>
          </w:p>
        </w:tc>
        <w:tc>
          <w:tcPr>
            <w:tcW w:w="992"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2</w:t>
            </w:r>
          </w:p>
        </w:tc>
        <w:tc>
          <w:tcPr>
            <w:tcW w:w="1560" w:type="dxa"/>
            <w:vAlign w:val="center"/>
          </w:tcPr>
          <w:p>
            <w:pPr>
              <w:adjustRightInd w:val="0"/>
              <w:snapToGrid w:val="0"/>
              <w:spacing w:line="56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测评服务</w:t>
            </w:r>
          </w:p>
        </w:tc>
        <w:tc>
          <w:tcPr>
            <w:tcW w:w="4847" w:type="dxa"/>
          </w:tcPr>
          <w:p>
            <w:pPr>
              <w:adjustRightInd w:val="0"/>
              <w:snapToGrid w:val="0"/>
              <w:spacing w:line="400" w:lineRule="exact"/>
              <w:jc w:val="left"/>
              <w:rPr>
                <w:rFonts w:ascii="仿宋" w:hAnsi="仿宋" w:eastAsia="仿宋" w:cs="Times New Roman"/>
                <w:kern w:val="0"/>
                <w:sz w:val="28"/>
                <w:szCs w:val="28"/>
              </w:rPr>
            </w:pPr>
            <w:r>
              <w:rPr>
                <w:rFonts w:hint="eastAsia" w:ascii="仿宋" w:hAnsi="仿宋" w:eastAsia="仿宋" w:cs="Times New Roman"/>
                <w:kern w:val="0"/>
                <w:sz w:val="28"/>
                <w:szCs w:val="28"/>
              </w:rPr>
              <w:t>完成学院官网（复评）、学院信息门户、OA系统、教务管理系统、学工管理系统、碧职云教学平台等6个系统的二级等保测评并生成测评报告。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1384" w:type="dxa"/>
            <w:vAlign w:val="center"/>
          </w:tcPr>
          <w:p>
            <w:pPr>
              <w:jc w:val="center"/>
              <w:rPr>
                <w:rFonts w:ascii="Calibri" w:hAnsi="Calibri" w:eastAsia="宋体" w:cs="Times New Roman"/>
                <w:kern w:val="0"/>
                <w:sz w:val="20"/>
                <w:szCs w:val="20"/>
              </w:rPr>
            </w:pPr>
            <w:r>
              <w:rPr>
                <w:rFonts w:hint="eastAsia" w:ascii="仿宋" w:hAnsi="仿宋" w:eastAsia="仿宋" w:cs="Times New Roman"/>
                <w:kern w:val="0"/>
                <w:sz w:val="28"/>
                <w:szCs w:val="28"/>
              </w:rPr>
              <w:t>★</w:t>
            </w:r>
          </w:p>
        </w:tc>
        <w:tc>
          <w:tcPr>
            <w:tcW w:w="992"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3</w:t>
            </w:r>
          </w:p>
        </w:tc>
        <w:tc>
          <w:tcPr>
            <w:tcW w:w="1560" w:type="dxa"/>
            <w:vAlign w:val="center"/>
          </w:tcPr>
          <w:p>
            <w:pPr>
              <w:adjustRightInd w:val="0"/>
              <w:snapToGrid w:val="0"/>
              <w:spacing w:line="560" w:lineRule="exact"/>
              <w:jc w:val="center"/>
              <w:rPr>
                <w:rFonts w:ascii="仿宋" w:hAnsi="仿宋" w:eastAsia="仿宋" w:cstheme="minorBidi"/>
                <w:kern w:val="2"/>
                <w:sz w:val="28"/>
                <w:szCs w:val="28"/>
              </w:rPr>
            </w:pPr>
            <w:r>
              <w:rPr>
                <w:rFonts w:hint="eastAsia" w:ascii="仿宋" w:hAnsi="仿宋" w:eastAsia="仿宋" w:cstheme="minorBidi"/>
                <w:kern w:val="2"/>
                <w:sz w:val="28"/>
                <w:szCs w:val="28"/>
              </w:rPr>
              <w:t>整改服务</w:t>
            </w:r>
          </w:p>
        </w:tc>
        <w:tc>
          <w:tcPr>
            <w:tcW w:w="4847" w:type="dxa"/>
          </w:tcPr>
          <w:p>
            <w:pPr>
              <w:adjustRightInd w:val="0"/>
              <w:snapToGrid w:val="0"/>
              <w:spacing w:line="560" w:lineRule="exact"/>
              <w:jc w:val="left"/>
              <w:rPr>
                <w:rFonts w:ascii="仿宋" w:hAnsi="仿宋" w:eastAsia="仿宋" w:cstheme="minorBidi"/>
                <w:kern w:val="2"/>
                <w:sz w:val="28"/>
                <w:szCs w:val="28"/>
              </w:rPr>
            </w:pPr>
            <w:r>
              <w:rPr>
                <w:rFonts w:hint="eastAsia" w:ascii="仿宋" w:hAnsi="仿宋" w:eastAsia="仿宋" w:cstheme="minorBidi"/>
                <w:kern w:val="2"/>
                <w:sz w:val="28"/>
                <w:szCs w:val="28"/>
              </w:rPr>
              <w:t>根据初测差距报告完成除涉及到系统源码修改之外的其它整改项目。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0" w:hRule="atLeast"/>
        </w:trPr>
        <w:tc>
          <w:tcPr>
            <w:tcW w:w="1384" w:type="dxa"/>
            <w:vAlign w:val="center"/>
          </w:tcPr>
          <w:p>
            <w:pPr>
              <w:adjustRightInd w:val="0"/>
              <w:snapToGrid w:val="0"/>
              <w:spacing w:line="560" w:lineRule="exact"/>
              <w:jc w:val="center"/>
              <w:rPr>
                <w:rFonts w:ascii="仿宋" w:hAnsi="仿宋" w:eastAsia="仿宋" w:cs="Times New Roman"/>
                <w:kern w:val="0"/>
                <w:sz w:val="28"/>
                <w:szCs w:val="28"/>
              </w:rPr>
            </w:pPr>
            <w:r>
              <w:rPr>
                <w:rFonts w:hint="eastAsia" w:ascii="仿宋" w:hAnsi="仿宋" w:eastAsia="仿宋" w:cs="Times New Roman"/>
                <w:kern w:val="0"/>
                <w:sz w:val="28"/>
                <w:szCs w:val="28"/>
              </w:rPr>
              <w:t>说明</w:t>
            </w:r>
          </w:p>
        </w:tc>
        <w:tc>
          <w:tcPr>
            <w:tcW w:w="7399" w:type="dxa"/>
            <w:gridSpan w:val="3"/>
            <w:vAlign w:val="center"/>
          </w:tcPr>
          <w:p>
            <w:pPr>
              <w:adjustRightInd w:val="0"/>
              <w:snapToGrid w:val="0"/>
              <w:spacing w:line="560" w:lineRule="exact"/>
              <w:rPr>
                <w:rFonts w:ascii="仿宋" w:hAnsi="仿宋" w:eastAsia="仿宋" w:cs="Times New Roman"/>
                <w:kern w:val="0"/>
                <w:sz w:val="28"/>
                <w:szCs w:val="28"/>
              </w:rPr>
            </w:pPr>
            <w:r>
              <w:rPr>
                <w:rFonts w:hint="eastAsia" w:ascii="仿宋" w:hAnsi="仿宋" w:eastAsia="仿宋" w:cs="Times New Roman"/>
                <w:kern w:val="0"/>
                <w:sz w:val="28"/>
                <w:szCs w:val="28"/>
              </w:rPr>
              <w:t>打“★”号条款为实质性条款，若有任何一条负偏离或不满足则导致投标无效。(根据项目的具体情况设定，不是必须有）</w:t>
            </w:r>
          </w:p>
          <w:p>
            <w:pPr>
              <w:adjustRightInd w:val="0"/>
              <w:snapToGrid w:val="0"/>
              <w:spacing w:line="560" w:lineRule="exact"/>
              <w:rPr>
                <w:rFonts w:ascii="仿宋" w:hAnsi="仿宋" w:eastAsia="仿宋" w:cs="Times New Roman"/>
                <w:kern w:val="0"/>
                <w:sz w:val="28"/>
                <w:szCs w:val="28"/>
              </w:rPr>
            </w:pPr>
            <w:r>
              <w:rPr>
                <w:rFonts w:hint="eastAsia" w:ascii="仿宋" w:hAnsi="仿宋" w:eastAsia="仿宋" w:cs="Times New Roman"/>
                <w:kern w:val="0"/>
                <w:sz w:val="28"/>
                <w:szCs w:val="28"/>
              </w:rPr>
              <w:t>打“▲”号条款为重要技术参数，若有部分“▲”条款未响应或不满足，将导致其响应性评审加重扣分，但不作为无效投标条款。(根据项目的具体情况设定，不是必须有）</w:t>
            </w:r>
          </w:p>
        </w:tc>
      </w:tr>
    </w:tbl>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pStyle w:val="14"/>
        <w:framePr w:wrap="auto" w:vAnchor="margin" w:hAnchor="text" w:yAlign="inline"/>
        <w:adjustRightInd w:val="0"/>
        <w:snapToGrid w:val="0"/>
        <w:spacing w:line="560" w:lineRule="exact"/>
        <w:ind w:firstLine="560" w:firstLineChars="200"/>
        <w:rPr>
          <w:rFonts w:hint="default" w:ascii="仿宋" w:hAnsi="仿宋" w:eastAsia="仿宋" w:cs="Times New Roman"/>
          <w:sz w:val="28"/>
          <w:szCs w:val="28"/>
        </w:rPr>
      </w:pPr>
    </w:p>
    <w:p>
      <w:pPr>
        <w:widowControl/>
        <w:jc w:val="left"/>
        <w:rPr>
          <w:rFonts w:ascii="仿宋" w:hAnsi="仿宋" w:eastAsia="仿宋" w:cs="Times New Roman"/>
          <w:color w:val="000000"/>
          <w:sz w:val="28"/>
          <w:szCs w:val="28"/>
          <w:u w:color="000000"/>
        </w:rPr>
      </w:pPr>
    </w:p>
    <w:sectPr>
      <w:pgSz w:w="11900" w:h="16840"/>
      <w:pgMar w:top="1134" w:right="1440" w:bottom="1134" w:left="1318" w:header="851" w:footer="992"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Malgun Gothic"/>
    <w:panose1 w:val="00000000000000000000"/>
    <w:charset w:val="00"/>
    <w:family w:val="auto"/>
    <w:pitch w:val="default"/>
    <w:sig w:usb0="00000000" w:usb1="00000000" w:usb2="00000010" w:usb3="00000000" w:csb0="00000001" w:csb1="00000000"/>
  </w:font>
  <w:font w:name="Malgun Gothic">
    <w:panose1 w:val="020B0503020000020004"/>
    <w:charset w:val="81"/>
    <w:family w:val="auto"/>
    <w:pitch w:val="default"/>
    <w:sig w:usb0="9000002F" w:usb1="29D77CFB" w:usb2="00000012" w:usb3="00000000" w:csb0="00080001" w:csb1="00000000"/>
  </w:font>
  <w:font w:name="Arial Unicode MS">
    <w:altName w:val="宋体"/>
    <w:panose1 w:val="020B0604020202020204"/>
    <w:charset w:val="86"/>
    <w:family w:val="swiss"/>
    <w:pitch w:val="default"/>
    <w:sig w:usb0="00000000" w:usb1="00000000" w:usb2="0000003F" w:usb3="00000000" w:csb0="003F01FF" w:csb1="00000000"/>
  </w:font>
  <w:font w:name="仿宋">
    <w:panose1 w:val="02010609060101010101"/>
    <w:charset w:val="86"/>
    <w:family w:val="modern"/>
    <w:pitch w:val="default"/>
    <w:sig w:usb0="800002BF" w:usb1="38CF7CFA" w:usb2="00000016" w:usb3="00000000" w:csb0="00040001" w:csb1="00000000"/>
  </w:font>
  <w:font w:name="方正小标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FlMTRmM2Q1ZDNjMjJmOWJlZThjMjdiNDljYzRjZmMifQ=="/>
  </w:docVars>
  <w:rsids>
    <w:rsidRoot w:val="000D0605"/>
    <w:rsid w:val="00000BA6"/>
    <w:rsid w:val="00017844"/>
    <w:rsid w:val="00020169"/>
    <w:rsid w:val="000429A3"/>
    <w:rsid w:val="000675C5"/>
    <w:rsid w:val="00071C4F"/>
    <w:rsid w:val="00080139"/>
    <w:rsid w:val="00082434"/>
    <w:rsid w:val="000835FE"/>
    <w:rsid w:val="00094BAB"/>
    <w:rsid w:val="000977A4"/>
    <w:rsid w:val="000A60B8"/>
    <w:rsid w:val="000A6C55"/>
    <w:rsid w:val="000A7761"/>
    <w:rsid w:val="000A77CF"/>
    <w:rsid w:val="000B6E16"/>
    <w:rsid w:val="000C6D42"/>
    <w:rsid w:val="000D0605"/>
    <w:rsid w:val="000D26D0"/>
    <w:rsid w:val="000D343A"/>
    <w:rsid w:val="000E67D7"/>
    <w:rsid w:val="001337AF"/>
    <w:rsid w:val="00156312"/>
    <w:rsid w:val="001625DA"/>
    <w:rsid w:val="00167308"/>
    <w:rsid w:val="00185705"/>
    <w:rsid w:val="00191D0D"/>
    <w:rsid w:val="001956D1"/>
    <w:rsid w:val="00197987"/>
    <w:rsid w:val="001A1729"/>
    <w:rsid w:val="001A44C6"/>
    <w:rsid w:val="001B2EA9"/>
    <w:rsid w:val="001B30A1"/>
    <w:rsid w:val="001B3EB4"/>
    <w:rsid w:val="001E6BC8"/>
    <w:rsid w:val="001F4A24"/>
    <w:rsid w:val="002009AC"/>
    <w:rsid w:val="00220959"/>
    <w:rsid w:val="00224308"/>
    <w:rsid w:val="00224484"/>
    <w:rsid w:val="002309D2"/>
    <w:rsid w:val="00230BDA"/>
    <w:rsid w:val="0024129F"/>
    <w:rsid w:val="002524D1"/>
    <w:rsid w:val="00276750"/>
    <w:rsid w:val="0028578E"/>
    <w:rsid w:val="002A7D44"/>
    <w:rsid w:val="002C26C3"/>
    <w:rsid w:val="002C5EF3"/>
    <w:rsid w:val="002C709F"/>
    <w:rsid w:val="002E7191"/>
    <w:rsid w:val="002F5C38"/>
    <w:rsid w:val="003005E5"/>
    <w:rsid w:val="00301577"/>
    <w:rsid w:val="003074B6"/>
    <w:rsid w:val="00315103"/>
    <w:rsid w:val="00317404"/>
    <w:rsid w:val="00321031"/>
    <w:rsid w:val="00321DAB"/>
    <w:rsid w:val="00325A67"/>
    <w:rsid w:val="0033037B"/>
    <w:rsid w:val="003329EE"/>
    <w:rsid w:val="0034634C"/>
    <w:rsid w:val="00356FA4"/>
    <w:rsid w:val="00370F7F"/>
    <w:rsid w:val="00377E28"/>
    <w:rsid w:val="0039341C"/>
    <w:rsid w:val="003A7639"/>
    <w:rsid w:val="003D26EC"/>
    <w:rsid w:val="003D583F"/>
    <w:rsid w:val="003D7CD8"/>
    <w:rsid w:val="003E3D8B"/>
    <w:rsid w:val="003F1C11"/>
    <w:rsid w:val="003F32BE"/>
    <w:rsid w:val="00401591"/>
    <w:rsid w:val="00406ED2"/>
    <w:rsid w:val="004115E0"/>
    <w:rsid w:val="00413052"/>
    <w:rsid w:val="0041546A"/>
    <w:rsid w:val="0041690B"/>
    <w:rsid w:val="00420AAA"/>
    <w:rsid w:val="00432FF9"/>
    <w:rsid w:val="004403D8"/>
    <w:rsid w:val="00457FA6"/>
    <w:rsid w:val="004607AD"/>
    <w:rsid w:val="004651CB"/>
    <w:rsid w:val="004765F9"/>
    <w:rsid w:val="004C68EB"/>
    <w:rsid w:val="004D2E16"/>
    <w:rsid w:val="004D6DAB"/>
    <w:rsid w:val="004E4FA7"/>
    <w:rsid w:val="004E6CAA"/>
    <w:rsid w:val="004F7AC6"/>
    <w:rsid w:val="00511226"/>
    <w:rsid w:val="00552C4F"/>
    <w:rsid w:val="00556098"/>
    <w:rsid w:val="005657F4"/>
    <w:rsid w:val="0057194A"/>
    <w:rsid w:val="00581DF1"/>
    <w:rsid w:val="00594537"/>
    <w:rsid w:val="005A3FEF"/>
    <w:rsid w:val="005B26FB"/>
    <w:rsid w:val="005B3A69"/>
    <w:rsid w:val="005B694F"/>
    <w:rsid w:val="005C04F3"/>
    <w:rsid w:val="005C13FB"/>
    <w:rsid w:val="005C51F0"/>
    <w:rsid w:val="005D239D"/>
    <w:rsid w:val="005D38F1"/>
    <w:rsid w:val="005D4799"/>
    <w:rsid w:val="005D63F3"/>
    <w:rsid w:val="005E05FA"/>
    <w:rsid w:val="005E7DD4"/>
    <w:rsid w:val="005F796F"/>
    <w:rsid w:val="005F7F82"/>
    <w:rsid w:val="00620683"/>
    <w:rsid w:val="00623DCD"/>
    <w:rsid w:val="00636BF6"/>
    <w:rsid w:val="006422DC"/>
    <w:rsid w:val="0066250B"/>
    <w:rsid w:val="00663A41"/>
    <w:rsid w:val="00665376"/>
    <w:rsid w:val="00667410"/>
    <w:rsid w:val="006717E9"/>
    <w:rsid w:val="006849CC"/>
    <w:rsid w:val="0069774B"/>
    <w:rsid w:val="006A01C6"/>
    <w:rsid w:val="006B2FBB"/>
    <w:rsid w:val="006B41C1"/>
    <w:rsid w:val="006D1452"/>
    <w:rsid w:val="006D364F"/>
    <w:rsid w:val="006F30DB"/>
    <w:rsid w:val="00712FE1"/>
    <w:rsid w:val="00722ED5"/>
    <w:rsid w:val="007317F5"/>
    <w:rsid w:val="00737078"/>
    <w:rsid w:val="007435BC"/>
    <w:rsid w:val="007466B8"/>
    <w:rsid w:val="00756A33"/>
    <w:rsid w:val="00765B66"/>
    <w:rsid w:val="00773D35"/>
    <w:rsid w:val="007754EE"/>
    <w:rsid w:val="00783C00"/>
    <w:rsid w:val="007A1B30"/>
    <w:rsid w:val="007A5136"/>
    <w:rsid w:val="007B1C1A"/>
    <w:rsid w:val="007B68D7"/>
    <w:rsid w:val="007D5926"/>
    <w:rsid w:val="007D5EC6"/>
    <w:rsid w:val="007F244F"/>
    <w:rsid w:val="007F4C2F"/>
    <w:rsid w:val="008211C7"/>
    <w:rsid w:val="008270BE"/>
    <w:rsid w:val="008515A8"/>
    <w:rsid w:val="008568F2"/>
    <w:rsid w:val="0086088B"/>
    <w:rsid w:val="0087789C"/>
    <w:rsid w:val="008A6246"/>
    <w:rsid w:val="008C4B5C"/>
    <w:rsid w:val="008D3267"/>
    <w:rsid w:val="008E4EC7"/>
    <w:rsid w:val="008F4B7A"/>
    <w:rsid w:val="008F7515"/>
    <w:rsid w:val="00900E58"/>
    <w:rsid w:val="00903CA1"/>
    <w:rsid w:val="00904A5A"/>
    <w:rsid w:val="009066AD"/>
    <w:rsid w:val="00925575"/>
    <w:rsid w:val="00926614"/>
    <w:rsid w:val="00934333"/>
    <w:rsid w:val="00934F1F"/>
    <w:rsid w:val="00970330"/>
    <w:rsid w:val="009D7E59"/>
    <w:rsid w:val="00A1699D"/>
    <w:rsid w:val="00A21217"/>
    <w:rsid w:val="00A55342"/>
    <w:rsid w:val="00A559DA"/>
    <w:rsid w:val="00A71977"/>
    <w:rsid w:val="00A827FA"/>
    <w:rsid w:val="00AB0F3C"/>
    <w:rsid w:val="00AC539F"/>
    <w:rsid w:val="00AD623F"/>
    <w:rsid w:val="00AE4CB2"/>
    <w:rsid w:val="00AF000D"/>
    <w:rsid w:val="00AF282A"/>
    <w:rsid w:val="00AF2BB4"/>
    <w:rsid w:val="00AF6DA6"/>
    <w:rsid w:val="00AF7F17"/>
    <w:rsid w:val="00B02E88"/>
    <w:rsid w:val="00B15596"/>
    <w:rsid w:val="00B23D9E"/>
    <w:rsid w:val="00B37C86"/>
    <w:rsid w:val="00B56E10"/>
    <w:rsid w:val="00B56F12"/>
    <w:rsid w:val="00B576EB"/>
    <w:rsid w:val="00B64386"/>
    <w:rsid w:val="00B64AD3"/>
    <w:rsid w:val="00B64C70"/>
    <w:rsid w:val="00B706DD"/>
    <w:rsid w:val="00B71EFB"/>
    <w:rsid w:val="00B77252"/>
    <w:rsid w:val="00BA57F7"/>
    <w:rsid w:val="00BB3CB1"/>
    <w:rsid w:val="00BC59F9"/>
    <w:rsid w:val="00BF77F0"/>
    <w:rsid w:val="00C03B93"/>
    <w:rsid w:val="00C1106F"/>
    <w:rsid w:val="00C113DF"/>
    <w:rsid w:val="00C309F3"/>
    <w:rsid w:val="00C432EC"/>
    <w:rsid w:val="00C52C61"/>
    <w:rsid w:val="00C56BB5"/>
    <w:rsid w:val="00C678D8"/>
    <w:rsid w:val="00C83252"/>
    <w:rsid w:val="00C84AE7"/>
    <w:rsid w:val="00C84E47"/>
    <w:rsid w:val="00C943B2"/>
    <w:rsid w:val="00C974E8"/>
    <w:rsid w:val="00CA1BD6"/>
    <w:rsid w:val="00CA5780"/>
    <w:rsid w:val="00CB538D"/>
    <w:rsid w:val="00CB5ABA"/>
    <w:rsid w:val="00CD2C2C"/>
    <w:rsid w:val="00CE4B92"/>
    <w:rsid w:val="00D11802"/>
    <w:rsid w:val="00D16307"/>
    <w:rsid w:val="00D17AD1"/>
    <w:rsid w:val="00D20C59"/>
    <w:rsid w:val="00D238C9"/>
    <w:rsid w:val="00D33A31"/>
    <w:rsid w:val="00D3463D"/>
    <w:rsid w:val="00D3629E"/>
    <w:rsid w:val="00D7706C"/>
    <w:rsid w:val="00D8095C"/>
    <w:rsid w:val="00D85B54"/>
    <w:rsid w:val="00D94119"/>
    <w:rsid w:val="00D97D86"/>
    <w:rsid w:val="00DA3061"/>
    <w:rsid w:val="00DB1BA3"/>
    <w:rsid w:val="00DB2122"/>
    <w:rsid w:val="00DB30F7"/>
    <w:rsid w:val="00DF254A"/>
    <w:rsid w:val="00E120C8"/>
    <w:rsid w:val="00E156D7"/>
    <w:rsid w:val="00E235DD"/>
    <w:rsid w:val="00E24DF0"/>
    <w:rsid w:val="00E361F3"/>
    <w:rsid w:val="00E42538"/>
    <w:rsid w:val="00E60B8A"/>
    <w:rsid w:val="00E67AED"/>
    <w:rsid w:val="00E71C25"/>
    <w:rsid w:val="00E8414E"/>
    <w:rsid w:val="00E91195"/>
    <w:rsid w:val="00E92028"/>
    <w:rsid w:val="00EA510B"/>
    <w:rsid w:val="00EB37A6"/>
    <w:rsid w:val="00EC0D80"/>
    <w:rsid w:val="00EC1E68"/>
    <w:rsid w:val="00EF3732"/>
    <w:rsid w:val="00EF5182"/>
    <w:rsid w:val="00F01E51"/>
    <w:rsid w:val="00F04320"/>
    <w:rsid w:val="00F177C4"/>
    <w:rsid w:val="00F50DCC"/>
    <w:rsid w:val="00F703BF"/>
    <w:rsid w:val="00F80706"/>
    <w:rsid w:val="00F82F6C"/>
    <w:rsid w:val="00F85ACD"/>
    <w:rsid w:val="00F93439"/>
    <w:rsid w:val="00F9555D"/>
    <w:rsid w:val="00FA32E5"/>
    <w:rsid w:val="00FB3E3C"/>
    <w:rsid w:val="00FC4E9C"/>
    <w:rsid w:val="00FF706E"/>
    <w:rsid w:val="7C4F20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7"/>
    <w:qFormat/>
    <w:uiPriority w:val="9"/>
    <w:pPr>
      <w:adjustRightInd w:val="0"/>
      <w:snapToGrid w:val="0"/>
      <w:spacing w:line="558" w:lineRule="exact"/>
      <w:ind w:firstLine="560" w:firstLineChars="200"/>
      <w:jc w:val="center"/>
      <w:outlineLvl w:val="0"/>
    </w:pPr>
    <w:rPr>
      <w:rFonts w:ascii="黑体" w:hAnsi="黑体" w:eastAsia="黑体"/>
      <w:sz w:val="28"/>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Balloon Text"/>
    <w:basedOn w:val="1"/>
    <w:link w:val="16"/>
    <w:semiHidden/>
    <w:unhideWhenUsed/>
    <w:qFormat/>
    <w:uiPriority w:val="99"/>
    <w:rPr>
      <w:sz w:val="18"/>
      <w:szCs w:val="18"/>
    </w:rPr>
  </w:style>
  <w:style w:type="paragraph" w:styleId="4">
    <w:name w:val="footer"/>
    <w:basedOn w:val="1"/>
    <w:link w:val="12"/>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eastAsia="宋体" w:cs="宋体"/>
      <w:kern w:val="0"/>
      <w:sz w:val="24"/>
      <w:szCs w:val="24"/>
    </w:rPr>
  </w:style>
  <w:style w:type="table" w:styleId="8">
    <w:name w:val="Table Grid"/>
    <w:basedOn w:val="7"/>
    <w:qFormat/>
    <w:uiPriority w:val="0"/>
    <w:pPr>
      <w:widowControl w:val="0"/>
      <w:jc w:val="both"/>
    </w:pPr>
    <w:rPr>
      <w:rFonts w:ascii="Calibri" w:hAnsi="Calibri"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0">
    <w:name w:val="Strong"/>
    <w:basedOn w:val="9"/>
    <w:qFormat/>
    <w:uiPriority w:val="22"/>
    <w:rPr>
      <w:b/>
      <w:bCs/>
    </w:rPr>
  </w:style>
  <w:style w:type="character" w:customStyle="1" w:styleId="11">
    <w:name w:val="页眉 Char"/>
    <w:basedOn w:val="9"/>
    <w:link w:val="5"/>
    <w:qFormat/>
    <w:uiPriority w:val="99"/>
    <w:rPr>
      <w:sz w:val="18"/>
      <w:szCs w:val="18"/>
    </w:rPr>
  </w:style>
  <w:style w:type="character" w:customStyle="1" w:styleId="12">
    <w:name w:val="页脚 Char"/>
    <w:basedOn w:val="9"/>
    <w:link w:val="4"/>
    <w:qFormat/>
    <w:uiPriority w:val="99"/>
    <w:rPr>
      <w:sz w:val="18"/>
      <w:szCs w:val="18"/>
    </w:rPr>
  </w:style>
  <w:style w:type="paragraph" w:customStyle="1" w:styleId="13">
    <w:name w:val="页眉与页脚"/>
    <w:qFormat/>
    <w:uiPriority w:val="0"/>
    <w:pPr>
      <w:framePr w:wrap="around" w:vAnchor="margin" w:hAnchor="text" w:y="1"/>
      <w:tabs>
        <w:tab w:val="right" w:pos="9020"/>
      </w:tabs>
    </w:pPr>
    <w:rPr>
      <w:rFonts w:ascii="Helvetica Neue" w:hAnsi="Helvetica Neue" w:eastAsia="Arial Unicode MS" w:cs="Arial Unicode MS"/>
      <w:color w:val="000000"/>
      <w:kern w:val="0"/>
      <w:sz w:val="24"/>
      <w:szCs w:val="24"/>
      <w:lang w:val="en-US" w:eastAsia="zh-CN" w:bidi="ar-SA"/>
    </w:rPr>
  </w:style>
  <w:style w:type="paragraph" w:customStyle="1" w:styleId="14">
    <w:name w:val="列出段落1"/>
    <w:qFormat/>
    <w:uiPriority w:val="0"/>
    <w:pPr>
      <w:framePr w:wrap="around" w:vAnchor="margin" w:hAnchor="text" w:y="1"/>
      <w:widowControl w:val="0"/>
      <w:ind w:firstLine="420"/>
      <w:jc w:val="both"/>
    </w:pPr>
    <w:rPr>
      <w:rFonts w:hint="eastAsia" w:ascii="Arial Unicode MS" w:hAnsi="Arial Unicode MS" w:eastAsia="Times New Roman" w:cs="Arial Unicode MS"/>
      <w:color w:val="000000"/>
      <w:kern w:val="2"/>
      <w:sz w:val="21"/>
      <w:szCs w:val="21"/>
      <w:u w:color="000000"/>
      <w:lang w:val="en-US" w:eastAsia="zh-CN" w:bidi="ar-SA"/>
    </w:rPr>
  </w:style>
  <w:style w:type="paragraph" w:customStyle="1" w:styleId="15">
    <w:name w:val="彩色列表 - 着色 12"/>
    <w:basedOn w:val="1"/>
    <w:qFormat/>
    <w:uiPriority w:val="34"/>
    <w:pPr>
      <w:ind w:firstLine="420" w:firstLineChars="200"/>
    </w:pPr>
    <w:rPr>
      <w:rFonts w:ascii="Times New Roman" w:hAnsi="Times New Roman" w:eastAsia="宋体" w:cs="Times New Roman"/>
      <w:szCs w:val="24"/>
      <w:u w:color="000000"/>
    </w:rPr>
  </w:style>
  <w:style w:type="character" w:customStyle="1" w:styleId="16">
    <w:name w:val="批注框文本 Char"/>
    <w:basedOn w:val="9"/>
    <w:link w:val="3"/>
    <w:semiHidden/>
    <w:qFormat/>
    <w:uiPriority w:val="99"/>
    <w:rPr>
      <w:sz w:val="18"/>
      <w:szCs w:val="18"/>
    </w:rPr>
  </w:style>
  <w:style w:type="character" w:customStyle="1" w:styleId="17">
    <w:name w:val="标题 1 Char"/>
    <w:basedOn w:val="9"/>
    <w:link w:val="2"/>
    <w:qFormat/>
    <w:uiPriority w:val="9"/>
    <w:rPr>
      <w:rFonts w:ascii="黑体" w:hAnsi="黑体" w:eastAsia="黑体"/>
      <w:sz w:val="28"/>
      <w:szCs w:val="28"/>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3</Pages>
  <Words>1254</Words>
  <Characters>1311</Characters>
  <Lines>9</Lines>
  <Paragraphs>2</Paragraphs>
  <TotalTime>323</TotalTime>
  <ScaleCrop>false</ScaleCrop>
  <LinksUpToDate>false</LinksUpToDate>
  <CharactersWithSpaces>1322</CharactersWithSpaces>
  <Application>WPS Office_11.1.0.12358_F1E327BC-269C-435d-A152-05C5408002CA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2022-09-28T02:03:00Z</dcterms:created>
  <dc:creator>宁雁青</dc:creator>
  <cp:lastModifiedBy>北苑</cp:lastModifiedBy>
  <cp:lastPrinted>2022-06-07T07:27:00Z</cp:lastPrinted>
  <dcterms:modified xsi:type="dcterms:W3CDTF">2022-10-11T02:07:15Z</dcterms:modified>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2052-11.1.0.12358</vt:lpwstr>
  </property>
  <property fmtid="{D5CDD505-2E9C-101B-9397-08002B2CF9AE}" pid="3" name="ICV">
    <vt:lpwstr>D2611D2F420A412C888C6F94B9950A42</vt:lpwstr>
  </property>
</Properties>
</file>